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84" w:rsidRPr="00C15384" w:rsidRDefault="00C15384" w:rsidP="00C15384">
      <w:pPr>
        <w:pStyle w:val="Textoindependiente"/>
        <w:spacing w:line="240" w:lineRule="atLeast"/>
        <w:jc w:val="center"/>
        <w:rPr>
          <w:b/>
          <w:szCs w:val="20"/>
          <w:lang w:val="es-ES_tradnl"/>
        </w:rPr>
      </w:pPr>
      <w:r w:rsidRPr="00C15384">
        <w:rPr>
          <w:b/>
          <w:szCs w:val="20"/>
          <w:lang w:val="es-ES_tradnl"/>
        </w:rPr>
        <w:t>Sección VII. Licencias y Permisos por la Explotación Diurno y Nocturno de Aparatos Mecánicos, Eléctricos y Electrónicos o Electromecánicos, instalados en los negocios o domicilios de los particulares.</w:t>
      </w:r>
    </w:p>
    <w:p w:rsidR="00C15384" w:rsidRPr="00C15384" w:rsidRDefault="00C15384" w:rsidP="00C15384">
      <w:pPr>
        <w:pStyle w:val="Textoindependiente"/>
        <w:spacing w:line="240" w:lineRule="atLeast"/>
        <w:jc w:val="center"/>
        <w:rPr>
          <w:b/>
          <w:szCs w:val="20"/>
          <w:lang w:val="es-ES_tradnl"/>
        </w:rPr>
      </w:pPr>
    </w:p>
    <w:p w:rsidR="00C15384" w:rsidRPr="00C15384" w:rsidRDefault="00C15384" w:rsidP="00C15384">
      <w:pPr>
        <w:pStyle w:val="Textoindependiente"/>
        <w:spacing w:line="240" w:lineRule="atLeast"/>
        <w:rPr>
          <w:szCs w:val="20"/>
          <w:lang w:val="es-ES_tradnl"/>
        </w:rPr>
      </w:pPr>
      <w:r w:rsidRPr="00C15384">
        <w:rPr>
          <w:b/>
          <w:szCs w:val="20"/>
        </w:rPr>
        <w:t>Artículo</w:t>
      </w:r>
      <w:r w:rsidRPr="00C15384">
        <w:rPr>
          <w:b/>
          <w:szCs w:val="20"/>
          <w:lang w:val="es-ES_tradnl"/>
        </w:rPr>
        <w:t xml:space="preserve"> 117.</w:t>
      </w:r>
      <w:r w:rsidRPr="00C15384">
        <w:rPr>
          <w:szCs w:val="20"/>
          <w:lang w:val="es-ES_tradnl"/>
        </w:rPr>
        <w:t xml:space="preserve"> Es objeto de este derecho la expedición de licencias o refrendos de licencias y permisos para la explotación con fines de lucro de aparatos mecánicos, eléctricos y electrónicos o electromecánicos, instalados en los negocios o domicilios de los particulares.</w:t>
      </w:r>
    </w:p>
    <w:p w:rsidR="00C15384" w:rsidRPr="00C15384" w:rsidRDefault="00C15384" w:rsidP="00C15384">
      <w:pPr>
        <w:pStyle w:val="Textoindependiente"/>
        <w:spacing w:line="240" w:lineRule="atLeast"/>
        <w:rPr>
          <w:szCs w:val="20"/>
          <w:lang w:val="es-ES_tradnl"/>
        </w:rPr>
      </w:pPr>
    </w:p>
    <w:p w:rsidR="00C15384" w:rsidRPr="00C15384" w:rsidRDefault="00C15384" w:rsidP="00C15384">
      <w:pPr>
        <w:pStyle w:val="Textoindependiente"/>
        <w:spacing w:line="240" w:lineRule="atLeast"/>
        <w:rPr>
          <w:szCs w:val="20"/>
          <w:lang w:val="es-ES_tradnl"/>
        </w:rPr>
      </w:pPr>
      <w:r w:rsidRPr="00C15384">
        <w:rPr>
          <w:b/>
          <w:szCs w:val="20"/>
        </w:rPr>
        <w:t>Artículo</w:t>
      </w:r>
      <w:r w:rsidRPr="00C15384">
        <w:rPr>
          <w:b/>
          <w:szCs w:val="20"/>
          <w:lang w:val="es-ES_tradnl"/>
        </w:rPr>
        <w:t xml:space="preserve"> 118.</w:t>
      </w:r>
      <w:r w:rsidRPr="00C15384">
        <w:rPr>
          <w:szCs w:val="20"/>
          <w:lang w:val="es-ES_tradnl"/>
        </w:rPr>
        <w:t xml:space="preserve"> Son sujetos de este derecho las personas físicas o morales que les expidan licencias o refrendos de licencias y permisos a que se refiere el artículo anterior.</w:t>
      </w:r>
    </w:p>
    <w:p w:rsidR="00C15384" w:rsidRPr="00C15384" w:rsidRDefault="00C15384" w:rsidP="00C15384">
      <w:pPr>
        <w:pStyle w:val="Textoindependiente"/>
        <w:spacing w:line="240" w:lineRule="atLeast"/>
        <w:rPr>
          <w:szCs w:val="20"/>
          <w:lang w:val="es-ES_tradnl"/>
        </w:rPr>
      </w:pPr>
    </w:p>
    <w:p w:rsidR="00C15384" w:rsidRPr="00C15384" w:rsidRDefault="00C15384" w:rsidP="00C15384">
      <w:pPr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C15384">
        <w:rPr>
          <w:rFonts w:ascii="Arial" w:hAnsi="Arial" w:cs="Arial"/>
          <w:b/>
          <w:sz w:val="20"/>
          <w:szCs w:val="20"/>
        </w:rPr>
        <w:t>Artículo</w:t>
      </w:r>
      <w:r w:rsidRPr="00C15384">
        <w:rPr>
          <w:rFonts w:ascii="Arial" w:hAnsi="Arial" w:cs="Arial"/>
          <w:b/>
          <w:sz w:val="20"/>
          <w:szCs w:val="20"/>
          <w:lang w:val="es-ES_tradnl"/>
        </w:rPr>
        <w:t xml:space="preserve"> 119.</w:t>
      </w:r>
      <w:r w:rsidRPr="00C15384">
        <w:rPr>
          <w:rFonts w:ascii="Arial" w:hAnsi="Arial" w:cs="Arial"/>
          <w:sz w:val="20"/>
          <w:szCs w:val="20"/>
          <w:lang w:val="es-ES_tradnl"/>
        </w:rPr>
        <w:t xml:space="preserve"> Este derecho se determinará y liquidará de conformidad con las siguientes cuotas:</w:t>
      </w:r>
    </w:p>
    <w:p w:rsidR="00C15384" w:rsidRPr="00C15384" w:rsidRDefault="00C15384" w:rsidP="00C15384">
      <w:pPr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1701"/>
        <w:gridCol w:w="1559"/>
      </w:tblGrid>
      <w:tr w:rsidR="00C15384" w:rsidRPr="00C15384" w:rsidTr="004006CE">
        <w:trPr>
          <w:trHeight w:val="421"/>
        </w:trPr>
        <w:tc>
          <w:tcPr>
            <w:tcW w:w="6668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CONCEPTO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EXPEDICIÓN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53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REFRENDO</w:t>
            </w:r>
          </w:p>
        </w:tc>
      </w:tr>
      <w:tr w:rsidR="00C15384" w:rsidRPr="00C15384" w:rsidTr="004006CE">
        <w:trPr>
          <w:trHeight w:val="358"/>
        </w:trPr>
        <w:tc>
          <w:tcPr>
            <w:tcW w:w="6668" w:type="dxa"/>
            <w:shd w:val="clear" w:color="auto" w:fill="auto"/>
            <w:vAlign w:val="center"/>
            <w:hideMark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Maquina sencilla o de pie para uno o dos jugadores por unidad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$200.00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  <w:hideMark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Maquina sencilla para más de dos jugadores por unidad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$500.00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$450.00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Máquina de video juegos con dos monitores y Simulador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$600.00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Máquina de refrescos y/o productos comestibles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$1,200.00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$1,000.00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Máquina de Baile (</w:t>
            </w:r>
            <w:proofErr w:type="spellStart"/>
            <w:r w:rsidRPr="00C15384">
              <w:rPr>
                <w:rFonts w:ascii="Arial" w:hAnsi="Arial" w:cs="Arial"/>
                <w:sz w:val="20"/>
                <w:szCs w:val="20"/>
              </w:rPr>
              <w:t>pump</w:t>
            </w:r>
            <w:proofErr w:type="spellEnd"/>
            <w:r w:rsidRPr="00C1538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$800.00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$500.00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Mesa de futbolito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$350.00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$150.00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Mesa de Jockey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$800.00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$500.00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Mesa de billar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$200.00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 xml:space="preserve">Pin </w:t>
            </w:r>
            <w:proofErr w:type="spellStart"/>
            <w:r w:rsidRPr="00C15384">
              <w:rPr>
                <w:rFonts w:ascii="Arial" w:hAnsi="Arial" w:cs="Arial"/>
                <w:sz w:val="20"/>
                <w:szCs w:val="20"/>
              </w:rPr>
              <w:t>Ball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$150.00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Juegos infantiles con o sin premio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$200.00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Tv con sistema de Nintendo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$200.00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Sistema de computadora con renta de internet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$250.00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$150.00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Carros eléctricos y mecánicos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$800.00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5384">
              <w:rPr>
                <w:rFonts w:ascii="Arial" w:hAnsi="Arial" w:cs="Arial"/>
                <w:sz w:val="20"/>
                <w:szCs w:val="20"/>
              </w:rPr>
              <w:t>Rockolas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$1,200.00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$600.00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Toro mecánico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$1,000.00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$500.00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Equipo mecánico de masaje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$900.00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$450.00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Ampliación de horario, por hora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$250.00 </w:t>
            </w:r>
            <w:r w:rsidRPr="00C15384">
              <w:rPr>
                <w:rFonts w:ascii="Arial" w:hAnsi="Arial" w:cs="Arial"/>
                <w:sz w:val="20"/>
                <w:szCs w:val="20"/>
              </w:rPr>
              <w:t>por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5384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$250.00 </w:t>
            </w:r>
            <w:r w:rsidRPr="00C15384">
              <w:rPr>
                <w:rFonts w:ascii="Arial" w:hAnsi="Arial" w:cs="Arial"/>
                <w:sz w:val="20"/>
                <w:szCs w:val="20"/>
              </w:rPr>
              <w:t>por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5384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Cambio de propietario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C15384">
              <w:rPr>
                <w:rFonts w:ascii="Arial" w:hAnsi="Arial" w:cs="Arial"/>
                <w:sz w:val="20"/>
                <w:szCs w:val="20"/>
              </w:rPr>
              <w:t>aplica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100% del </w:t>
            </w:r>
            <w:r w:rsidRPr="00C15384">
              <w:rPr>
                <w:rFonts w:ascii="Arial" w:hAnsi="Arial" w:cs="Arial"/>
                <w:sz w:val="20"/>
                <w:szCs w:val="20"/>
              </w:rPr>
              <w:t>monto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C15384">
              <w:rPr>
                <w:rFonts w:ascii="Arial" w:hAnsi="Arial" w:cs="Arial"/>
                <w:sz w:val="20"/>
                <w:szCs w:val="20"/>
              </w:rPr>
              <w:t>inicio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C15384">
              <w:rPr>
                <w:rFonts w:ascii="Arial" w:hAnsi="Arial" w:cs="Arial"/>
                <w:sz w:val="20"/>
                <w:szCs w:val="20"/>
              </w:rPr>
              <w:t>operaciones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la </w:t>
            </w:r>
            <w:r w:rsidRPr="00C15384">
              <w:rPr>
                <w:rFonts w:ascii="Arial" w:hAnsi="Arial" w:cs="Arial"/>
                <w:sz w:val="20"/>
                <w:szCs w:val="20"/>
              </w:rPr>
              <w:t>maquina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5384">
              <w:rPr>
                <w:rFonts w:ascii="Arial" w:hAnsi="Arial" w:cs="Arial"/>
                <w:sz w:val="20"/>
                <w:szCs w:val="20"/>
              </w:rPr>
              <w:t>autorizada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Cambio de denominación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C15384">
              <w:rPr>
                <w:rFonts w:ascii="Arial" w:hAnsi="Arial" w:cs="Arial"/>
                <w:sz w:val="20"/>
                <w:szCs w:val="20"/>
              </w:rPr>
              <w:t>aplica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>$300.00</w:t>
            </w:r>
          </w:p>
        </w:tc>
      </w:tr>
      <w:tr w:rsidR="00C15384" w:rsidRPr="00C15384" w:rsidTr="004006CE">
        <w:trPr>
          <w:trHeight w:val="405"/>
        </w:trPr>
        <w:tc>
          <w:tcPr>
            <w:tcW w:w="6668" w:type="dxa"/>
            <w:shd w:val="clear" w:color="auto" w:fill="auto"/>
            <w:vAlign w:val="center"/>
          </w:tcPr>
          <w:p w:rsidR="00C15384" w:rsidRPr="00C15384" w:rsidRDefault="00C15384" w:rsidP="00C15384">
            <w:pPr>
              <w:pStyle w:val="Prrafodelista"/>
              <w:numPr>
                <w:ilvl w:val="0"/>
                <w:numId w:val="1"/>
              </w:numPr>
              <w:ind w:left="861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384">
              <w:rPr>
                <w:rFonts w:ascii="Arial" w:hAnsi="Arial" w:cs="Arial"/>
                <w:sz w:val="20"/>
                <w:szCs w:val="20"/>
              </w:rPr>
              <w:t>Ampliación de maquinas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No </w:t>
            </w:r>
            <w:r w:rsidRPr="00C15384">
              <w:rPr>
                <w:rFonts w:ascii="Arial" w:hAnsi="Arial" w:cs="Arial"/>
                <w:sz w:val="20"/>
                <w:szCs w:val="20"/>
              </w:rPr>
              <w:t>aplica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384" w:rsidRPr="00C15384" w:rsidRDefault="00C15384" w:rsidP="004006C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100% del </w:t>
            </w:r>
            <w:r w:rsidRPr="00C15384">
              <w:rPr>
                <w:rFonts w:ascii="Arial" w:hAnsi="Arial" w:cs="Arial"/>
                <w:sz w:val="20"/>
                <w:szCs w:val="20"/>
              </w:rPr>
              <w:t>monto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C15384">
              <w:rPr>
                <w:rFonts w:ascii="Arial" w:hAnsi="Arial" w:cs="Arial"/>
                <w:sz w:val="20"/>
                <w:szCs w:val="20"/>
              </w:rPr>
              <w:t>inicio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C15384">
              <w:rPr>
                <w:rFonts w:ascii="Arial" w:hAnsi="Arial" w:cs="Arial"/>
                <w:sz w:val="20"/>
                <w:szCs w:val="20"/>
              </w:rPr>
              <w:t>operaciones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de la </w:t>
            </w:r>
            <w:r w:rsidRPr="00C15384">
              <w:rPr>
                <w:rFonts w:ascii="Arial" w:hAnsi="Arial" w:cs="Arial"/>
                <w:sz w:val="20"/>
                <w:szCs w:val="20"/>
              </w:rPr>
              <w:t>maquina</w:t>
            </w:r>
            <w:r w:rsidRPr="00C153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15384">
              <w:rPr>
                <w:rFonts w:ascii="Arial" w:hAnsi="Arial" w:cs="Arial"/>
                <w:sz w:val="20"/>
                <w:szCs w:val="20"/>
              </w:rPr>
              <w:t>autorizada</w:t>
            </w:r>
          </w:p>
        </w:tc>
      </w:tr>
    </w:tbl>
    <w:p w:rsidR="00514A39" w:rsidRPr="00C15384" w:rsidRDefault="00514A39">
      <w:pPr>
        <w:rPr>
          <w:sz w:val="20"/>
          <w:szCs w:val="20"/>
        </w:rPr>
      </w:pPr>
    </w:p>
    <w:sectPr w:rsidR="00514A39" w:rsidRPr="00C15384" w:rsidSect="00C15384">
      <w:pgSz w:w="12240" w:h="15840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531"/>
    <w:multiLevelType w:val="multilevel"/>
    <w:tmpl w:val="8F1EE79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84"/>
    <w:rsid w:val="00514A39"/>
    <w:rsid w:val="00C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ADABD-082A-45A4-81E2-D74B20C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15384"/>
    <w:pPr>
      <w:ind w:left="720"/>
      <w:contextualSpacing/>
    </w:pPr>
  </w:style>
  <w:style w:type="paragraph" w:styleId="Textoindependiente">
    <w:name w:val="Body Text"/>
    <w:basedOn w:val="Normal"/>
    <w:link w:val="TextoindependienteCar"/>
    <w:qFormat/>
    <w:rsid w:val="00C15384"/>
    <w:pPr>
      <w:autoSpaceDE w:val="0"/>
      <w:autoSpaceDN w:val="0"/>
      <w:adjustRightInd w:val="0"/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384"/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15384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hacienda</dc:creator>
  <cp:keywords/>
  <dc:description/>
  <cp:lastModifiedBy>Reg hacienda</cp:lastModifiedBy>
  <cp:revision>1</cp:revision>
  <dcterms:created xsi:type="dcterms:W3CDTF">2019-10-07T23:35:00Z</dcterms:created>
  <dcterms:modified xsi:type="dcterms:W3CDTF">2019-10-07T23:38:00Z</dcterms:modified>
</cp:coreProperties>
</file>