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688" w:rsidRPr="00130F79" w:rsidRDefault="00CA7688" w:rsidP="00CA7688">
      <w:pPr>
        <w:spacing w:line="240" w:lineRule="atLeast"/>
        <w:jc w:val="both"/>
        <w:rPr>
          <w:rFonts w:ascii="Arial" w:hAnsi="Arial" w:cs="Arial"/>
          <w:sz w:val="22"/>
          <w:szCs w:val="22"/>
          <w:lang w:val="es-ES_tradnl"/>
        </w:rPr>
      </w:pPr>
      <w:r w:rsidRPr="00130F79">
        <w:rPr>
          <w:rFonts w:ascii="Arial" w:hAnsi="Arial" w:cs="Arial"/>
          <w:b/>
          <w:sz w:val="22"/>
          <w:szCs w:val="22"/>
        </w:rPr>
        <w:t>Artículo</w:t>
      </w:r>
      <w:r w:rsidRPr="00130F79">
        <w:rPr>
          <w:rFonts w:ascii="Arial" w:hAnsi="Arial" w:cs="Arial"/>
          <w:b/>
          <w:sz w:val="22"/>
          <w:szCs w:val="22"/>
          <w:lang w:val="es-ES_tradnl"/>
        </w:rPr>
        <w:t xml:space="preserve"> 106.</w:t>
      </w:r>
      <w:r w:rsidRPr="00130F79">
        <w:rPr>
          <w:rFonts w:ascii="Arial" w:hAnsi="Arial" w:cs="Arial"/>
          <w:sz w:val="22"/>
          <w:szCs w:val="22"/>
          <w:lang w:val="es-ES_tradnl"/>
        </w:rPr>
        <w:t xml:space="preserve"> Estos derechos se causarán y pagarán conforme a las siguientes cuotas:</w:t>
      </w:r>
    </w:p>
    <w:tbl>
      <w:tblPr>
        <w:tblW w:w="99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70"/>
        <w:gridCol w:w="1843"/>
        <w:gridCol w:w="1985"/>
      </w:tblGrid>
      <w:tr w:rsidR="00CA7688" w:rsidRPr="00130F79" w:rsidTr="004006CE">
        <w:trPr>
          <w:trHeight w:val="300"/>
        </w:trPr>
        <w:tc>
          <w:tcPr>
            <w:tcW w:w="6170" w:type="dxa"/>
            <w:shd w:val="clear" w:color="auto" w:fill="auto"/>
            <w:vAlign w:val="center"/>
            <w:hideMark/>
          </w:tcPr>
          <w:p w:rsidR="00CA7688" w:rsidRPr="00130F79" w:rsidRDefault="00CA7688" w:rsidP="004006CE">
            <w:pPr>
              <w:jc w:val="center"/>
              <w:rPr>
                <w:rFonts w:ascii="Arial" w:hAnsi="Arial" w:cs="Arial"/>
                <w:b/>
                <w:bCs/>
                <w:sz w:val="22"/>
                <w:szCs w:val="22"/>
              </w:rPr>
            </w:pPr>
            <w:r w:rsidRPr="00130F79">
              <w:rPr>
                <w:rFonts w:ascii="Arial" w:hAnsi="Arial" w:cs="Arial"/>
                <w:b/>
                <w:bCs/>
                <w:sz w:val="22"/>
                <w:szCs w:val="22"/>
                <w:lang w:val="en-US"/>
              </w:rPr>
              <w:t>GIRO</w:t>
            </w:r>
          </w:p>
        </w:tc>
        <w:tc>
          <w:tcPr>
            <w:tcW w:w="1843" w:type="dxa"/>
            <w:shd w:val="clear" w:color="auto" w:fill="auto"/>
            <w:vAlign w:val="center"/>
            <w:hideMark/>
          </w:tcPr>
          <w:p w:rsidR="00CA7688" w:rsidRPr="00130F79" w:rsidRDefault="00CA7688" w:rsidP="004006CE">
            <w:pPr>
              <w:jc w:val="center"/>
              <w:rPr>
                <w:rFonts w:ascii="Arial" w:hAnsi="Arial" w:cs="Arial"/>
                <w:b/>
                <w:bCs/>
                <w:sz w:val="22"/>
                <w:szCs w:val="22"/>
              </w:rPr>
            </w:pPr>
            <w:r w:rsidRPr="00130F79">
              <w:rPr>
                <w:rFonts w:ascii="Arial" w:hAnsi="Arial" w:cs="Arial"/>
                <w:b/>
                <w:bCs/>
                <w:sz w:val="22"/>
                <w:szCs w:val="22"/>
                <w:lang w:val="en-US"/>
              </w:rPr>
              <w:t xml:space="preserve">INTEGRACIÓN </w:t>
            </w:r>
          </w:p>
        </w:tc>
        <w:tc>
          <w:tcPr>
            <w:tcW w:w="1985" w:type="dxa"/>
            <w:shd w:val="clear" w:color="auto" w:fill="auto"/>
            <w:vAlign w:val="center"/>
            <w:hideMark/>
          </w:tcPr>
          <w:p w:rsidR="00CA7688" w:rsidRPr="00130F79" w:rsidRDefault="00CA7688" w:rsidP="004006CE">
            <w:pPr>
              <w:jc w:val="center"/>
              <w:rPr>
                <w:rFonts w:ascii="Arial" w:hAnsi="Arial" w:cs="Arial"/>
                <w:b/>
                <w:bCs/>
                <w:sz w:val="22"/>
                <w:szCs w:val="22"/>
              </w:rPr>
            </w:pPr>
            <w:r w:rsidRPr="00130F79">
              <w:rPr>
                <w:rFonts w:ascii="Arial" w:hAnsi="Arial" w:cs="Arial"/>
                <w:b/>
                <w:bCs/>
                <w:sz w:val="22"/>
                <w:szCs w:val="22"/>
                <w:lang w:val="en-US"/>
              </w:rPr>
              <w:t xml:space="preserve">ACTUALIZACIÓN </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Abarrotes Minoristas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$2,500.00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 xml:space="preserve"> $2,000.00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Abarrotes Mayoristas y/o Distribuidores </w:t>
            </w:r>
          </w:p>
        </w:tc>
        <w:tc>
          <w:tcPr>
            <w:tcW w:w="1843"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$35,500.00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$25,400.00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Abastecedoras de carnes frías </w:t>
            </w:r>
          </w:p>
        </w:tc>
        <w:tc>
          <w:tcPr>
            <w:tcW w:w="1843"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$4,300.00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$3,500.00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Academia de artes y oficios </w:t>
            </w:r>
          </w:p>
        </w:tc>
        <w:tc>
          <w:tcPr>
            <w:tcW w:w="1843"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$1,200.00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Agencia de viaje venta de boletos aéreos- terrestres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Alquileres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Antojitos regionales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$250.00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Artículos electrónicos domésticos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$3,200.00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Artículos religiosos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Bancos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$40,000.00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Balnearios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$2,900.00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$2,300.00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Baños Públicos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Bazar</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Bodega, venta y/o centro de distribución de pisos, azulejos y accesorios para interiores de cadena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$38,000.00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Bodega y centro de distribución de pisos, azulejos y accesorios para interiores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Bodega y centro de reparto de abarrotes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Bodega y/o centro de reparto de refrescos de cadena y/o franquicia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$150,000.00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Boleros de jardín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$250.00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Boutiques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Cajas de ahorro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$18,000.00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Cajero automático o kiosco electrónico por unidad (en bancos, cajas de ahorro, centros comerciales y centro de atención a clientes que prestan servicios de manera individual)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$9,300.00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Cajeros automáticos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$7,000.00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Carnicerías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Casas de cambio y/o envío de recursos monetarios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Casas de empeño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Cajas de Ahorro y Préstamo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 xml:space="preserve"> $50,000.00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Casetas con venta de alimentos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$5,800.00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$1,160.00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Casetas Telefónicas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$2,200.00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Casetas telefónicas con servicio de internet</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$2,200.00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Cenaduría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Cerrajería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$400.00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Centros de Computo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Centros de Fotocopiado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$1,200.00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Centro de atención a clientes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$6,500.00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lastRenderedPageBreak/>
              <w:t>Centro de atención a clientes de cadena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Centro esotérico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Centros Recreativos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$3,200.00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$2,600.00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Clínicas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$4,000.00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Clínicas medicas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$8,000.00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Clínicas médicas de especialidades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$12,000.00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$9,200.00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Clínicas odontológicas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Clínicas de belleza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Club nutricional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Cocina Económica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$900.00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Consultorio dental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Consultorio medico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Curtiduría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Cremerías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$1,400.00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$700.00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Despachos en general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Discos y películas DVD</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Distribuidor de Gas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$20,500.00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Distribuidora de llantas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$3,000.00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Distribuidora de llantas de cadena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Distribuidoras de agua purificada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$6,500.00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$5,200.00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Distribuidoras de pinturas y artículos relacionados de cadena nacional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Distribuidora de pintura y artículos relacionados de cadena local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$7,000.00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Dulcerías locales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Dulcerías de cadena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Dulcerías nacionales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$7,500.00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Academia de artes y oficios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$1,200.00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Envíos y paqueterías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$6,500.00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$ 5,200.00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Escuelas particulares nivel: Preescolar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$4,500.00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Escuelas particulares nivel: Primaria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$11,000.00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$5,500.00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Escuelas particulares nivel: Secundaria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$13,000.00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$6,500.00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Escuelas particulares nivel: Preparatoria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$7,500.00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Escuelas particulares nivel: Superior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$17,000.00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$8,500.00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Escuelas de bailes y danza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$1,400.00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Escuela de computo e idiomas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$2,100.00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$1,700.00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Estancia infantil (guardería)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$7,000.00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Estacionamiento de Autos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$1,200.00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$600.00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Estudio Fotográfico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 xml:space="preserve"> $2,000.00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 xml:space="preserve"> $1,000.00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Expendio de aceites y lubricantes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Expendio de Agroquímicos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Expendio de granos y semillas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$3,500.00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lastRenderedPageBreak/>
              <w:t>Expendio de materias primas para panadería y pastelería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Farmacias con consultorio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$6,200.00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$4,900.00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Farmacias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$3,000.00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Farmacia de cadena local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$7,000.00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Farmacias de cadena estatal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Farmacia de cadena nacional o franquicia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$12,000.00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Farmacia locales con venta de perfumería y regalos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$4,000.00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Ferreterías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$4,500.00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Ferreterías de cadena local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$12,000.00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$6,000.00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Florerías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lang w:val="en-US"/>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Fotocopiadoras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lang w:val="en-US"/>
              </w:rPr>
            </w:pPr>
            <w:r w:rsidRPr="00130F79">
              <w:rPr>
                <w:rFonts w:ascii="Arial" w:hAnsi="Arial" w:cs="Arial"/>
                <w:sz w:val="22"/>
                <w:szCs w:val="22"/>
                <w:lang w:val="en-US"/>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rPr>
                <w:rFonts w:ascii="Arial" w:hAnsi="Arial" w:cs="Arial"/>
                <w:sz w:val="22"/>
                <w:szCs w:val="22"/>
              </w:rPr>
            </w:pPr>
            <w:r w:rsidRPr="00130F79">
              <w:rPr>
                <w:rFonts w:ascii="Arial" w:hAnsi="Arial" w:cs="Arial"/>
                <w:sz w:val="22"/>
                <w:szCs w:val="22"/>
              </w:rPr>
              <w:t>Gas LP</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 xml:space="preserve"> $50,000.00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 xml:space="preserve"> $25,000.00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rPr>
                <w:rFonts w:ascii="Arial" w:hAnsi="Arial" w:cs="Arial"/>
                <w:sz w:val="22"/>
                <w:szCs w:val="22"/>
              </w:rPr>
            </w:pPr>
            <w:r w:rsidRPr="00130F79">
              <w:rPr>
                <w:rFonts w:ascii="Arial" w:hAnsi="Arial" w:cs="Arial"/>
                <w:sz w:val="22"/>
                <w:szCs w:val="22"/>
              </w:rPr>
              <w:t>Gasolineras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 xml:space="preserve"> $150,000.00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 xml:space="preserve"> $75,000.00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Gimnasio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Guarderías y estancias infantiles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Hotel de 1 a 3 estrellas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Hotel de 4 a 5 estrellas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Hospitales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$14,300.00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Motel</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$7,000.00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Instituciones Financieras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Industrias madereras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Jugueterías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Joyerías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Joyerías con venta y reparación de todo tipo de joyas de oro, plata y fantasía.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Laboratorios de análisis clínicos de cadena local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Laboratorios de análisis clínicos de cadena estatal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Laboratorios de análisis clínicos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Lácteos y embutidos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$2,300.00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Lavanderías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$1,200.00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Lava autos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$1,095.00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$876.00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Loncherías y fondas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$1,400.00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Material  de Construcción</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Marmolerías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$12,000.00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Material de herrería y balconera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Mercerías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$1,200.00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$700.00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Minisúper, cremería y salchichería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Minisúper sin venta de bebidas alcohólicas </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p w:rsidR="00CA7688" w:rsidRPr="00130F79" w:rsidRDefault="00CA7688" w:rsidP="004006CE">
            <w:pPr>
              <w:jc w:val="center"/>
              <w:rPr>
                <w:rFonts w:ascii="Arial" w:hAnsi="Arial" w:cs="Arial"/>
                <w:sz w:val="22"/>
                <w:szCs w:val="22"/>
              </w:rPr>
            </w:pP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p w:rsidR="00CA7688" w:rsidRPr="00130F79" w:rsidRDefault="00CA7688" w:rsidP="004006CE">
            <w:pPr>
              <w:jc w:val="center"/>
              <w:rPr>
                <w:rFonts w:ascii="Arial" w:hAnsi="Arial" w:cs="Arial"/>
                <w:sz w:val="22"/>
                <w:szCs w:val="22"/>
              </w:rPr>
            </w:pP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Minisúper de cadena local sin venta de bebidas alcohólicas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 xml:space="preserve"> $40,000.00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lastRenderedPageBreak/>
              <w:t xml:space="preserve">Tienda de conveniencia sin venta de bebidas alcohólicas </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Misceláneas y o tendejones sin venta de bebidas alcohólicas  </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Molinos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Mueblerías locales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Mueblerías de cadena local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Mueblerías de cadena nacional (sucursal)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$42,000.00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Notarías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$17,500.00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Ópticas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Ópticas de cadena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$4,200.00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proofErr w:type="spellStart"/>
            <w:r w:rsidRPr="00130F79">
              <w:rPr>
                <w:rFonts w:ascii="Arial" w:hAnsi="Arial" w:cs="Arial"/>
                <w:sz w:val="22"/>
                <w:szCs w:val="22"/>
              </w:rPr>
              <w:t>Paletería</w:t>
            </w:r>
            <w:proofErr w:type="spellEnd"/>
            <w:r w:rsidRPr="00130F79">
              <w:rPr>
                <w:rFonts w:ascii="Arial" w:hAnsi="Arial" w:cs="Arial"/>
                <w:sz w:val="22"/>
                <w:szCs w:val="22"/>
              </w:rPr>
              <w:t xml:space="preserve"> y Aguas frescas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proofErr w:type="spellStart"/>
            <w:r w:rsidRPr="00130F79">
              <w:rPr>
                <w:rFonts w:ascii="Arial" w:hAnsi="Arial" w:cs="Arial"/>
                <w:sz w:val="22"/>
                <w:szCs w:val="22"/>
              </w:rPr>
              <w:t>Paletería</w:t>
            </w:r>
            <w:proofErr w:type="spellEnd"/>
            <w:r w:rsidRPr="00130F79">
              <w:rPr>
                <w:rFonts w:ascii="Arial" w:hAnsi="Arial" w:cs="Arial"/>
                <w:sz w:val="22"/>
                <w:szCs w:val="22"/>
              </w:rPr>
              <w:t xml:space="preserve"> y nevería sin franquicia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proofErr w:type="spellStart"/>
            <w:r w:rsidRPr="00130F79">
              <w:rPr>
                <w:rFonts w:ascii="Arial" w:hAnsi="Arial" w:cs="Arial"/>
                <w:sz w:val="22"/>
                <w:szCs w:val="22"/>
              </w:rPr>
              <w:t>Paletería</w:t>
            </w:r>
            <w:proofErr w:type="spellEnd"/>
            <w:r w:rsidRPr="00130F79">
              <w:rPr>
                <w:rFonts w:ascii="Arial" w:hAnsi="Arial" w:cs="Arial"/>
                <w:sz w:val="22"/>
                <w:szCs w:val="22"/>
              </w:rPr>
              <w:t xml:space="preserve"> y nevería con franquicia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$8,900.00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$5,300.00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Panaderías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Panadería de cadena local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Panificadora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Papelerías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$1,400.00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Pastelerías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Pastelería de cadena nacional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Pastelería de cadena local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$14,000.00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$7,000.00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Perifoneo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Pizzería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Purificadoras de agua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Pollos al carbón, a la leña y rosticerías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Posadas y similares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$4,200.00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$2,260.00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Radiodifusoras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$28,000.00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Refaccionaria para autos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$7,000.00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Refaccionaria para moto taxis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Refaccionaria de bicicletas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$1,700.00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Refresqueras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Regalos y perfumerías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$1,400.00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$1,160.000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Renta de cuartos por mes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$2,400.00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Renta de Películas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Restaurantes sin venta de bebidas alcohólicas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Rosticerías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$3,300.00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Rótulos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Peluquerías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Estéticas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Salón de belleza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Sastrería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Salón para eventos </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lastRenderedPageBreak/>
              <w:t>Servicio de alquileres de Mobiliario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Servicio de auto lavado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Servicio de Moto taxi</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51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Servicios digitales, distribuidora de televisión, Telefonía, internet de paga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Servicios Funerales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Servicios Médicos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Servicios Profesionales (despachos y bufetes)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Servicios Musicales (conjuntos, renta de audio y sonido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Sociedad financiera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Supermercado y/o tiendas de autoservicio de cadena nacional</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$250,000.00</w:t>
            </w:r>
          </w:p>
          <w:p w:rsidR="00CA7688" w:rsidRPr="00130F79" w:rsidRDefault="00CA7688" w:rsidP="004006CE">
            <w:pPr>
              <w:jc w:val="center"/>
              <w:rPr>
                <w:rFonts w:ascii="Arial" w:hAnsi="Arial" w:cs="Arial"/>
                <w:sz w:val="22"/>
                <w:szCs w:val="22"/>
              </w:rPr>
            </w:pP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$175,000.00</w:t>
            </w:r>
          </w:p>
          <w:p w:rsidR="00CA7688" w:rsidRPr="00130F79" w:rsidRDefault="00CA7688" w:rsidP="004006CE">
            <w:pPr>
              <w:jc w:val="center"/>
              <w:rPr>
                <w:rFonts w:ascii="Arial" w:hAnsi="Arial" w:cs="Arial"/>
                <w:sz w:val="22"/>
                <w:szCs w:val="22"/>
              </w:rPr>
            </w:pP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Tabiquerías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Mausoleos y lapidas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aluminio y/o Vidrierías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carpintería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electrónica y reparación de electrodomésticos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herrería y balconearía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imprenta, Serigrafía, Offset</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$1,300.00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joyería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radiadores y mofles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reparación de moto taxis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refrigeración y aire acondicionado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reparación de calzado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servicio de alineación y balanceo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tapicería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vulcanizadoras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Talleres servicio eléctrico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Talleres de bicicletas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Talleres mecánicos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$7,000.00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Taller de soldadura y torno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$6,000.00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Taquerías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Telefonía celular y accesorios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Tienda de muebles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Tiendas de moda y diseño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$3,200.00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$1,600.00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Tienda de deportes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Tiendas de tlapalería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r>
      <w:tr w:rsidR="00CA7688" w:rsidRPr="00130F79" w:rsidTr="004006CE">
        <w:trPr>
          <w:trHeight w:val="423"/>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Tiendas de vestidos de novia, primera comunión, quince años, bautizos, presentaciones y demás similares) </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$3,200.00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$1,600.00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Tienda de electrodomésticos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$4,000.00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lastRenderedPageBreak/>
              <w:t>Tiendas de pinturas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Tiendas de regalo y Bisutería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Tiendas de ropa</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Tiendas de materiales para construcción</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Tintorerías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$1,460.00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$1,160.00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Tortillerías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de aguas frescas y </w:t>
            </w:r>
            <w:proofErr w:type="spellStart"/>
            <w:r w:rsidRPr="00130F79">
              <w:rPr>
                <w:rFonts w:ascii="Arial" w:hAnsi="Arial" w:cs="Arial"/>
                <w:sz w:val="22"/>
                <w:szCs w:val="22"/>
              </w:rPr>
              <w:t>paletería</w:t>
            </w:r>
            <w:proofErr w:type="spellEnd"/>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computadoras, accesorios y similares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celulares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de equipo de telefonía y accesorios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$4,700.00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$3,700.00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de Bisutería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$2,100.00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$1,700.00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de fertilizantes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detergentes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dulces regionales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Hamburguesas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de Instrumentos Musicales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$1,800.00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de granos y semillas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frutas y legumbres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hamburguesas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de lencería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$700.00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llantas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de llantas de cadena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13,000.00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$7,000.00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plástico</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$1,600.00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$800.00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pollo en pie</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$1,200.00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pollo destazado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$2,500.00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de tortillas de mano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$350.00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Venta y reparación de relojes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$350.00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Venta y reparación de equipo de computo</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$730.00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$580.00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Veterinarias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$3,500.00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Viveros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 xml:space="preserve">Vidriería y cancelería de aluminio </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$5,000.00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Vulcanizadoras</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$1,095.00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$900.00</w:t>
            </w:r>
          </w:p>
        </w:tc>
      </w:tr>
      <w:tr w:rsidR="00CA7688" w:rsidRPr="00130F79" w:rsidTr="004006CE">
        <w:trPr>
          <w:trHeight w:val="300"/>
        </w:trPr>
        <w:tc>
          <w:tcPr>
            <w:tcW w:w="6170" w:type="dxa"/>
            <w:shd w:val="clear" w:color="auto" w:fill="auto"/>
            <w:vAlign w:val="center"/>
            <w:hideMark/>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Zapaterías</w:t>
            </w:r>
          </w:p>
        </w:tc>
        <w:tc>
          <w:tcPr>
            <w:tcW w:w="1843"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$2,000.00</w:t>
            </w:r>
          </w:p>
        </w:tc>
        <w:tc>
          <w:tcPr>
            <w:tcW w:w="1985" w:type="dxa"/>
            <w:shd w:val="clear" w:color="auto" w:fill="auto"/>
            <w:vAlign w:val="center"/>
            <w:hideMark/>
          </w:tcPr>
          <w:p w:rsidR="00CA7688" w:rsidRPr="00130F79" w:rsidRDefault="00CA7688" w:rsidP="004006CE">
            <w:pPr>
              <w:jc w:val="center"/>
              <w:rPr>
                <w:rFonts w:ascii="Arial" w:hAnsi="Arial" w:cs="Arial"/>
                <w:sz w:val="22"/>
                <w:szCs w:val="22"/>
              </w:rPr>
            </w:pPr>
            <w:r w:rsidRPr="00130F79">
              <w:rPr>
                <w:rFonts w:ascii="Arial" w:hAnsi="Arial" w:cs="Arial"/>
                <w:sz w:val="22"/>
                <w:szCs w:val="22"/>
              </w:rPr>
              <w:t>$1,00.000</w:t>
            </w:r>
          </w:p>
        </w:tc>
      </w:tr>
      <w:tr w:rsidR="00CA7688" w:rsidRPr="00130F79" w:rsidTr="004006CE">
        <w:trPr>
          <w:trHeight w:val="300"/>
        </w:trPr>
        <w:tc>
          <w:tcPr>
            <w:tcW w:w="6170" w:type="dxa"/>
            <w:shd w:val="clear" w:color="auto" w:fill="auto"/>
            <w:vAlign w:val="center"/>
          </w:tcPr>
          <w:p w:rsidR="00CA7688" w:rsidRPr="00130F79" w:rsidRDefault="00CA7688" w:rsidP="00CA7688">
            <w:pPr>
              <w:pStyle w:val="Prrafodelista"/>
              <w:numPr>
                <w:ilvl w:val="0"/>
                <w:numId w:val="1"/>
              </w:numPr>
              <w:ind w:left="1139" w:hanging="142"/>
              <w:contextualSpacing w:val="0"/>
              <w:jc w:val="both"/>
              <w:rPr>
                <w:rFonts w:ascii="Arial" w:hAnsi="Arial" w:cs="Arial"/>
                <w:sz w:val="22"/>
                <w:szCs w:val="22"/>
              </w:rPr>
            </w:pPr>
            <w:r w:rsidRPr="00130F79">
              <w:rPr>
                <w:rFonts w:ascii="Arial" w:hAnsi="Arial" w:cs="Arial"/>
                <w:sz w:val="22"/>
                <w:szCs w:val="22"/>
              </w:rPr>
              <w:t>Zapaterías de cadena</w:t>
            </w:r>
          </w:p>
        </w:tc>
        <w:tc>
          <w:tcPr>
            <w:tcW w:w="1843"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$30,000.00</w:t>
            </w:r>
          </w:p>
        </w:tc>
        <w:tc>
          <w:tcPr>
            <w:tcW w:w="1985" w:type="dxa"/>
            <w:shd w:val="clear" w:color="auto" w:fill="auto"/>
            <w:vAlign w:val="center"/>
          </w:tcPr>
          <w:p w:rsidR="00CA7688" w:rsidRPr="00130F79" w:rsidRDefault="00CA7688" w:rsidP="004006CE">
            <w:pPr>
              <w:jc w:val="center"/>
              <w:rPr>
                <w:rFonts w:ascii="Arial" w:hAnsi="Arial" w:cs="Arial"/>
                <w:sz w:val="22"/>
                <w:szCs w:val="22"/>
              </w:rPr>
            </w:pPr>
            <w:r w:rsidRPr="00130F79">
              <w:rPr>
                <w:rFonts w:ascii="Arial" w:hAnsi="Arial" w:cs="Arial"/>
                <w:sz w:val="22"/>
                <w:szCs w:val="22"/>
              </w:rPr>
              <w:t>$15,000.00</w:t>
            </w:r>
          </w:p>
        </w:tc>
      </w:tr>
    </w:tbl>
    <w:p w:rsidR="00CA7688" w:rsidRPr="00130F79" w:rsidRDefault="00CA7688" w:rsidP="00CA7688">
      <w:pPr>
        <w:spacing w:line="240" w:lineRule="atLeast"/>
        <w:jc w:val="both"/>
        <w:rPr>
          <w:rFonts w:ascii="Arial" w:hAnsi="Arial" w:cs="Arial"/>
          <w:sz w:val="22"/>
          <w:szCs w:val="22"/>
          <w:lang w:val="es-ES_tradnl"/>
        </w:rPr>
      </w:pPr>
    </w:p>
    <w:p w:rsidR="00CA7688" w:rsidRPr="00130F79" w:rsidRDefault="00CA7688" w:rsidP="00CA7688">
      <w:pPr>
        <w:spacing w:line="240" w:lineRule="atLeast"/>
        <w:jc w:val="both"/>
        <w:rPr>
          <w:rFonts w:ascii="Arial" w:hAnsi="Arial" w:cs="Arial"/>
          <w:sz w:val="22"/>
          <w:szCs w:val="22"/>
          <w:lang w:val="es-ES_tradnl"/>
        </w:rPr>
      </w:pPr>
      <w:r w:rsidRPr="00130F79">
        <w:rPr>
          <w:rFonts w:ascii="Arial" w:hAnsi="Arial" w:cs="Arial"/>
          <w:sz w:val="22"/>
          <w:szCs w:val="22"/>
          <w:lang w:val="es-ES_tradnl"/>
        </w:rPr>
        <w:t>Los giros que no se encuentren especificados en las fracciones que anteceden, serán equiparados por similitud con los mismos; en el caso que no se encuentre uno semejante se aplicara conforme a lo dispuesto en los incisos siguientes:</w:t>
      </w:r>
    </w:p>
    <w:p w:rsidR="00CA7688" w:rsidRPr="00130F79" w:rsidRDefault="00CA7688" w:rsidP="00CA7688">
      <w:pPr>
        <w:spacing w:line="240" w:lineRule="atLeast"/>
        <w:jc w:val="both"/>
        <w:rPr>
          <w:rFonts w:ascii="Arial" w:hAnsi="Arial" w:cs="Arial"/>
          <w:sz w:val="22"/>
          <w:szCs w:val="22"/>
          <w:lang w:val="es-ES_tradnl"/>
        </w:rPr>
      </w:pPr>
    </w:p>
    <w:tbl>
      <w:tblPr>
        <w:tblStyle w:val="Tablaconcuadrcula"/>
        <w:tblW w:w="0" w:type="auto"/>
        <w:jc w:val="right"/>
        <w:tblLook w:val="04A0" w:firstRow="1" w:lastRow="0" w:firstColumn="1" w:lastColumn="0" w:noHBand="0" w:noVBand="1"/>
      </w:tblPr>
      <w:tblGrid>
        <w:gridCol w:w="1986"/>
        <w:gridCol w:w="2233"/>
        <w:gridCol w:w="2278"/>
        <w:gridCol w:w="2331"/>
      </w:tblGrid>
      <w:tr w:rsidR="00CA7688" w:rsidRPr="00130F79" w:rsidTr="004006CE">
        <w:trPr>
          <w:jc w:val="right"/>
        </w:trPr>
        <w:tc>
          <w:tcPr>
            <w:tcW w:w="2505" w:type="dxa"/>
          </w:tcPr>
          <w:p w:rsidR="00CA7688" w:rsidRPr="00130F79" w:rsidRDefault="00CA7688" w:rsidP="00CA7688">
            <w:pPr>
              <w:pStyle w:val="Prrafodelista"/>
              <w:numPr>
                <w:ilvl w:val="0"/>
                <w:numId w:val="1"/>
              </w:numPr>
              <w:spacing w:line="240" w:lineRule="atLeast"/>
              <w:ind w:left="1134" w:hanging="141"/>
              <w:jc w:val="both"/>
              <w:rPr>
                <w:rFonts w:ascii="Arial" w:hAnsi="Arial" w:cs="Arial"/>
                <w:sz w:val="22"/>
                <w:szCs w:val="22"/>
                <w:lang w:val="es-ES_tradnl"/>
              </w:rPr>
            </w:pPr>
          </w:p>
        </w:tc>
        <w:tc>
          <w:tcPr>
            <w:tcW w:w="2535" w:type="dxa"/>
          </w:tcPr>
          <w:p w:rsidR="00CA7688" w:rsidRPr="00130F79" w:rsidRDefault="00CA7688" w:rsidP="004006CE">
            <w:pPr>
              <w:spacing w:line="240" w:lineRule="atLeast"/>
              <w:jc w:val="center"/>
              <w:rPr>
                <w:rFonts w:ascii="Arial" w:hAnsi="Arial" w:cs="Arial"/>
                <w:b/>
                <w:sz w:val="22"/>
                <w:szCs w:val="22"/>
                <w:lang w:val="es-ES_tradnl"/>
              </w:rPr>
            </w:pPr>
            <w:r w:rsidRPr="00130F79">
              <w:rPr>
                <w:rFonts w:ascii="Arial" w:hAnsi="Arial" w:cs="Arial"/>
                <w:b/>
                <w:sz w:val="22"/>
                <w:szCs w:val="22"/>
                <w:lang w:val="es-ES_tradnl"/>
              </w:rPr>
              <w:t>Tipos de giro</w:t>
            </w:r>
          </w:p>
        </w:tc>
        <w:tc>
          <w:tcPr>
            <w:tcW w:w="2536" w:type="dxa"/>
          </w:tcPr>
          <w:p w:rsidR="00CA7688" w:rsidRPr="00130F79" w:rsidRDefault="00CA7688" w:rsidP="004006CE">
            <w:pPr>
              <w:spacing w:line="240" w:lineRule="atLeast"/>
              <w:jc w:val="center"/>
              <w:rPr>
                <w:rFonts w:ascii="Arial" w:hAnsi="Arial" w:cs="Arial"/>
                <w:b/>
                <w:sz w:val="22"/>
                <w:szCs w:val="22"/>
                <w:lang w:val="es-ES_tradnl"/>
              </w:rPr>
            </w:pPr>
            <w:r w:rsidRPr="00130F79">
              <w:rPr>
                <w:rFonts w:ascii="Arial" w:hAnsi="Arial" w:cs="Arial"/>
                <w:b/>
                <w:sz w:val="22"/>
                <w:szCs w:val="22"/>
                <w:lang w:val="es-ES_tradnl"/>
              </w:rPr>
              <w:t>Integración</w:t>
            </w:r>
          </w:p>
        </w:tc>
        <w:tc>
          <w:tcPr>
            <w:tcW w:w="2536" w:type="dxa"/>
          </w:tcPr>
          <w:p w:rsidR="00CA7688" w:rsidRPr="00130F79" w:rsidRDefault="00CA7688" w:rsidP="004006CE">
            <w:pPr>
              <w:spacing w:line="240" w:lineRule="atLeast"/>
              <w:jc w:val="center"/>
              <w:rPr>
                <w:rFonts w:ascii="Arial" w:hAnsi="Arial" w:cs="Arial"/>
                <w:b/>
                <w:sz w:val="22"/>
                <w:szCs w:val="22"/>
                <w:lang w:val="es-ES_tradnl"/>
              </w:rPr>
            </w:pPr>
            <w:r w:rsidRPr="00130F79">
              <w:rPr>
                <w:rFonts w:ascii="Arial" w:hAnsi="Arial" w:cs="Arial"/>
                <w:b/>
                <w:sz w:val="22"/>
                <w:szCs w:val="22"/>
                <w:lang w:val="es-ES_tradnl"/>
              </w:rPr>
              <w:t>Actualización</w:t>
            </w:r>
          </w:p>
        </w:tc>
      </w:tr>
      <w:tr w:rsidR="00CA7688" w:rsidRPr="00130F79" w:rsidTr="004006CE">
        <w:trPr>
          <w:jc w:val="right"/>
        </w:trPr>
        <w:tc>
          <w:tcPr>
            <w:tcW w:w="2505" w:type="dxa"/>
          </w:tcPr>
          <w:p w:rsidR="00CA7688" w:rsidRPr="00130F79" w:rsidRDefault="00CA7688" w:rsidP="00CA7688">
            <w:pPr>
              <w:pStyle w:val="Prrafodelista"/>
              <w:numPr>
                <w:ilvl w:val="0"/>
                <w:numId w:val="2"/>
              </w:numPr>
              <w:spacing w:line="240" w:lineRule="atLeast"/>
              <w:jc w:val="both"/>
              <w:rPr>
                <w:rFonts w:ascii="Arial" w:hAnsi="Arial" w:cs="Arial"/>
                <w:sz w:val="22"/>
                <w:szCs w:val="22"/>
                <w:lang w:val="es-ES_tradnl"/>
              </w:rPr>
            </w:pPr>
          </w:p>
        </w:tc>
        <w:tc>
          <w:tcPr>
            <w:tcW w:w="2535" w:type="dxa"/>
          </w:tcPr>
          <w:p w:rsidR="00CA7688" w:rsidRPr="00130F79" w:rsidRDefault="00CA7688" w:rsidP="004006CE">
            <w:pPr>
              <w:spacing w:line="240" w:lineRule="atLeast"/>
              <w:jc w:val="both"/>
              <w:rPr>
                <w:rFonts w:ascii="Arial" w:hAnsi="Arial" w:cs="Arial"/>
                <w:sz w:val="22"/>
                <w:szCs w:val="22"/>
                <w:lang w:val="es-ES_tradnl"/>
              </w:rPr>
            </w:pPr>
            <w:r w:rsidRPr="00130F79">
              <w:rPr>
                <w:rFonts w:ascii="Arial" w:hAnsi="Arial" w:cs="Arial"/>
                <w:sz w:val="22"/>
                <w:szCs w:val="22"/>
                <w:lang w:val="es-ES_tradnl"/>
              </w:rPr>
              <w:t xml:space="preserve">Servicios </w:t>
            </w:r>
          </w:p>
        </w:tc>
        <w:tc>
          <w:tcPr>
            <w:tcW w:w="2536" w:type="dxa"/>
          </w:tcPr>
          <w:p w:rsidR="00CA7688" w:rsidRPr="00130F79" w:rsidRDefault="00CA7688" w:rsidP="004006CE">
            <w:pPr>
              <w:spacing w:line="240" w:lineRule="atLeast"/>
              <w:jc w:val="center"/>
              <w:rPr>
                <w:rFonts w:ascii="Arial" w:hAnsi="Arial" w:cs="Arial"/>
                <w:sz w:val="22"/>
                <w:szCs w:val="22"/>
                <w:lang w:val="es-ES_tradnl"/>
              </w:rPr>
            </w:pPr>
            <w:r w:rsidRPr="00130F79">
              <w:rPr>
                <w:rFonts w:ascii="Arial" w:hAnsi="Arial" w:cs="Arial"/>
                <w:sz w:val="22"/>
                <w:szCs w:val="22"/>
                <w:lang w:val="es-ES_tradnl"/>
              </w:rPr>
              <w:t>$4,000.00</w:t>
            </w:r>
          </w:p>
        </w:tc>
        <w:tc>
          <w:tcPr>
            <w:tcW w:w="2536" w:type="dxa"/>
          </w:tcPr>
          <w:p w:rsidR="00CA7688" w:rsidRPr="00130F79" w:rsidRDefault="00CA7688" w:rsidP="004006CE">
            <w:pPr>
              <w:spacing w:line="240" w:lineRule="atLeast"/>
              <w:jc w:val="center"/>
              <w:rPr>
                <w:rFonts w:ascii="Arial" w:hAnsi="Arial" w:cs="Arial"/>
                <w:sz w:val="22"/>
                <w:szCs w:val="22"/>
                <w:lang w:val="es-ES_tradnl"/>
              </w:rPr>
            </w:pPr>
            <w:r w:rsidRPr="00130F79">
              <w:rPr>
                <w:rFonts w:ascii="Arial" w:hAnsi="Arial" w:cs="Arial"/>
                <w:sz w:val="22"/>
                <w:szCs w:val="22"/>
                <w:lang w:val="es-ES_tradnl"/>
              </w:rPr>
              <w:t>$2,000.00</w:t>
            </w:r>
          </w:p>
        </w:tc>
      </w:tr>
      <w:tr w:rsidR="00CA7688" w:rsidRPr="00130F79" w:rsidTr="004006CE">
        <w:trPr>
          <w:jc w:val="right"/>
        </w:trPr>
        <w:tc>
          <w:tcPr>
            <w:tcW w:w="2505" w:type="dxa"/>
          </w:tcPr>
          <w:p w:rsidR="00CA7688" w:rsidRPr="00130F79" w:rsidRDefault="00CA7688" w:rsidP="00CA7688">
            <w:pPr>
              <w:pStyle w:val="Prrafodelista"/>
              <w:numPr>
                <w:ilvl w:val="0"/>
                <w:numId w:val="2"/>
              </w:numPr>
              <w:spacing w:line="240" w:lineRule="atLeast"/>
              <w:jc w:val="both"/>
              <w:rPr>
                <w:rFonts w:ascii="Arial" w:hAnsi="Arial" w:cs="Arial"/>
                <w:sz w:val="22"/>
                <w:szCs w:val="22"/>
                <w:lang w:val="es-ES_tradnl"/>
              </w:rPr>
            </w:pPr>
          </w:p>
        </w:tc>
        <w:tc>
          <w:tcPr>
            <w:tcW w:w="2535" w:type="dxa"/>
          </w:tcPr>
          <w:p w:rsidR="00CA7688" w:rsidRPr="00130F79" w:rsidRDefault="00CA7688" w:rsidP="004006CE">
            <w:pPr>
              <w:spacing w:line="240" w:lineRule="atLeast"/>
              <w:jc w:val="both"/>
              <w:rPr>
                <w:rFonts w:ascii="Arial" w:hAnsi="Arial" w:cs="Arial"/>
                <w:sz w:val="22"/>
                <w:szCs w:val="22"/>
                <w:lang w:val="es-ES_tradnl"/>
              </w:rPr>
            </w:pPr>
            <w:r w:rsidRPr="00130F79">
              <w:rPr>
                <w:rFonts w:ascii="Arial" w:hAnsi="Arial" w:cs="Arial"/>
                <w:sz w:val="22"/>
                <w:szCs w:val="22"/>
                <w:lang w:val="es-ES_tradnl"/>
              </w:rPr>
              <w:t xml:space="preserve">Comercial </w:t>
            </w:r>
          </w:p>
        </w:tc>
        <w:tc>
          <w:tcPr>
            <w:tcW w:w="2536" w:type="dxa"/>
          </w:tcPr>
          <w:p w:rsidR="00CA7688" w:rsidRPr="00130F79" w:rsidRDefault="00CA7688" w:rsidP="004006CE">
            <w:pPr>
              <w:spacing w:line="240" w:lineRule="atLeast"/>
              <w:jc w:val="center"/>
              <w:rPr>
                <w:rFonts w:ascii="Arial" w:hAnsi="Arial" w:cs="Arial"/>
                <w:sz w:val="22"/>
                <w:szCs w:val="22"/>
                <w:lang w:val="es-ES_tradnl"/>
              </w:rPr>
            </w:pPr>
            <w:r w:rsidRPr="00130F79">
              <w:rPr>
                <w:rFonts w:ascii="Arial" w:hAnsi="Arial" w:cs="Arial"/>
                <w:sz w:val="22"/>
                <w:szCs w:val="22"/>
                <w:lang w:val="es-ES_tradnl"/>
              </w:rPr>
              <w:t>$4,000.00</w:t>
            </w:r>
          </w:p>
        </w:tc>
        <w:tc>
          <w:tcPr>
            <w:tcW w:w="2536" w:type="dxa"/>
          </w:tcPr>
          <w:p w:rsidR="00CA7688" w:rsidRPr="00130F79" w:rsidRDefault="00CA7688" w:rsidP="004006CE">
            <w:pPr>
              <w:spacing w:line="240" w:lineRule="atLeast"/>
              <w:jc w:val="center"/>
              <w:rPr>
                <w:rFonts w:ascii="Arial" w:hAnsi="Arial" w:cs="Arial"/>
                <w:sz w:val="22"/>
                <w:szCs w:val="22"/>
                <w:lang w:val="es-ES_tradnl"/>
              </w:rPr>
            </w:pPr>
            <w:r w:rsidRPr="00130F79">
              <w:rPr>
                <w:rFonts w:ascii="Arial" w:hAnsi="Arial" w:cs="Arial"/>
                <w:sz w:val="22"/>
                <w:szCs w:val="22"/>
                <w:lang w:val="es-ES_tradnl"/>
              </w:rPr>
              <w:t>$2,000.00</w:t>
            </w:r>
          </w:p>
        </w:tc>
      </w:tr>
      <w:tr w:rsidR="00CA7688" w:rsidRPr="00130F79" w:rsidTr="004006CE">
        <w:trPr>
          <w:jc w:val="right"/>
        </w:trPr>
        <w:tc>
          <w:tcPr>
            <w:tcW w:w="2505" w:type="dxa"/>
          </w:tcPr>
          <w:p w:rsidR="00CA7688" w:rsidRPr="00130F79" w:rsidRDefault="00CA7688" w:rsidP="00CA7688">
            <w:pPr>
              <w:pStyle w:val="Prrafodelista"/>
              <w:numPr>
                <w:ilvl w:val="0"/>
                <w:numId w:val="2"/>
              </w:numPr>
              <w:spacing w:line="240" w:lineRule="atLeast"/>
              <w:jc w:val="both"/>
              <w:rPr>
                <w:rFonts w:ascii="Arial" w:hAnsi="Arial" w:cs="Arial"/>
                <w:sz w:val="22"/>
                <w:szCs w:val="22"/>
                <w:lang w:val="es-ES_tradnl"/>
              </w:rPr>
            </w:pPr>
          </w:p>
        </w:tc>
        <w:tc>
          <w:tcPr>
            <w:tcW w:w="2535" w:type="dxa"/>
          </w:tcPr>
          <w:p w:rsidR="00CA7688" w:rsidRPr="00130F79" w:rsidRDefault="00CA7688" w:rsidP="004006CE">
            <w:pPr>
              <w:spacing w:line="240" w:lineRule="atLeast"/>
              <w:jc w:val="both"/>
              <w:rPr>
                <w:rFonts w:ascii="Arial" w:hAnsi="Arial" w:cs="Arial"/>
                <w:sz w:val="22"/>
                <w:szCs w:val="22"/>
                <w:lang w:val="es-ES_tradnl"/>
              </w:rPr>
            </w:pPr>
            <w:r w:rsidRPr="00130F79">
              <w:rPr>
                <w:rFonts w:ascii="Arial" w:hAnsi="Arial" w:cs="Arial"/>
                <w:sz w:val="22"/>
                <w:szCs w:val="22"/>
                <w:lang w:val="es-ES_tradnl"/>
              </w:rPr>
              <w:t>Industrial</w:t>
            </w:r>
          </w:p>
        </w:tc>
        <w:tc>
          <w:tcPr>
            <w:tcW w:w="2536" w:type="dxa"/>
          </w:tcPr>
          <w:p w:rsidR="00CA7688" w:rsidRPr="00130F79" w:rsidRDefault="00CA7688" w:rsidP="004006CE">
            <w:pPr>
              <w:spacing w:line="240" w:lineRule="atLeast"/>
              <w:jc w:val="center"/>
              <w:rPr>
                <w:rFonts w:ascii="Arial" w:hAnsi="Arial" w:cs="Arial"/>
                <w:sz w:val="22"/>
                <w:szCs w:val="22"/>
                <w:lang w:val="es-ES_tradnl"/>
              </w:rPr>
            </w:pPr>
            <w:r w:rsidRPr="00130F79">
              <w:rPr>
                <w:rFonts w:ascii="Arial" w:hAnsi="Arial" w:cs="Arial"/>
                <w:sz w:val="22"/>
                <w:szCs w:val="22"/>
                <w:lang w:val="es-ES_tradnl"/>
              </w:rPr>
              <w:t>$4,000.00</w:t>
            </w:r>
          </w:p>
        </w:tc>
        <w:tc>
          <w:tcPr>
            <w:tcW w:w="2536" w:type="dxa"/>
          </w:tcPr>
          <w:p w:rsidR="00CA7688" w:rsidRPr="00130F79" w:rsidRDefault="00CA7688" w:rsidP="004006CE">
            <w:pPr>
              <w:spacing w:line="240" w:lineRule="atLeast"/>
              <w:jc w:val="center"/>
              <w:rPr>
                <w:rFonts w:ascii="Arial" w:hAnsi="Arial" w:cs="Arial"/>
                <w:sz w:val="22"/>
                <w:szCs w:val="22"/>
                <w:lang w:val="es-ES_tradnl"/>
              </w:rPr>
            </w:pPr>
            <w:r w:rsidRPr="00130F79">
              <w:rPr>
                <w:rFonts w:ascii="Arial" w:hAnsi="Arial" w:cs="Arial"/>
                <w:sz w:val="22"/>
                <w:szCs w:val="22"/>
                <w:lang w:val="es-ES_tradnl"/>
              </w:rPr>
              <w:t>$2,000.00</w:t>
            </w:r>
          </w:p>
        </w:tc>
      </w:tr>
    </w:tbl>
    <w:p w:rsidR="00CA7688" w:rsidRPr="00130F79" w:rsidRDefault="00CA7688" w:rsidP="00CA7688">
      <w:pPr>
        <w:spacing w:line="240" w:lineRule="atLeast"/>
        <w:jc w:val="both"/>
        <w:rPr>
          <w:rFonts w:ascii="Arial" w:hAnsi="Arial" w:cs="Arial"/>
          <w:sz w:val="22"/>
          <w:szCs w:val="22"/>
          <w:lang w:val="es-ES_tradnl"/>
        </w:rPr>
      </w:pPr>
    </w:p>
    <w:p w:rsidR="00CA7688" w:rsidRPr="00130F79" w:rsidRDefault="00CA7688" w:rsidP="00CA7688">
      <w:pPr>
        <w:pStyle w:val="Textoindependiente"/>
        <w:spacing w:line="240" w:lineRule="atLeast"/>
        <w:rPr>
          <w:sz w:val="22"/>
        </w:rPr>
      </w:pPr>
      <w:r w:rsidRPr="00130F79">
        <w:rPr>
          <w:sz w:val="22"/>
        </w:rPr>
        <w:t>Para los efectos de esta sección, los establecimientos comerciales que presten servicios complementarios o adicionales al giro principal, deberán pagar la integración o actualización al padrón Municipal de funcionamiento comercial del giro complementario, aun cuando este sea de menor, igual o mayor proporción o tamaño que el principal.</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Se entenderá por giro complementario o adicional la actividad o actividades que se ejerzan en un establecimiento, con el objeto de prestar algún servicio distinto al principal.</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Para la autorización del pago de derechos correspondientes a la integración o actualización al Padrón Fiscal Municipal de comercios, industrias y prestación de servicios del permiso de funcionamiento de servicios de cajas de ahorro y préstamo o establecimientos de objeto similar, el contribuyente previamente debe comprobar en forma fehaciente ante la Autoridad Municipal, la existencia de su registro ante la Comisión Nacional Bancaria y de Valores.</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En el caso de casas de empeño, deberán presentar el contrato de garantía prendaría autorizado y registrado por la Procuraduría Federal del Consumidor.</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Así mismo, de manera conjunta con el pago de registro o actualización se deberá cubrir el Derecho Aseo Público Comercial, Anuncio Publicitario que proceda y Protección Civil. En los casos en que el giro inicie sus actividades antes de haber sido legalmente autorizado se aplicarán las sanciones que conforme a la Ley correspondan.</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Asimismo, deberán comprobar en el caso de Sociedades Cooperativas, que están inscritas en el Padrón del Fondo de Protección y afiliadas a una Federación y a la Confederación Nacional que prevé la Ley General de Sociedades Cooperativas.</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Así también deberán encontrarse al corriente del pago del Impuesto Predial, Agua Potable y en general de cualquier contribución que se encuentre en los Padrones del Municipio o que sean inherentes al mismo, en virtud que es requisito indispensable para la integración o actualización.</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En el caso de casas de empeño, deberán presentar el contrato de garantía prendaría autorizado y registrado por la Procuraduría Federal del Consumidor.</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Las inspecciones a las negociaciones comerciales y de servicios que realicen las Autoridades Municipales por la apertura, cambio de domicilio o ampliación de giro, tendrán un costo por inspección de 7 Unidades de Medida y Actualización vigente.</w:t>
      </w:r>
    </w:p>
    <w:p w:rsidR="00CA7688" w:rsidRPr="00130F79" w:rsidRDefault="00CA7688" w:rsidP="00CA7688">
      <w:pPr>
        <w:pStyle w:val="Textoindependiente"/>
        <w:spacing w:line="240" w:lineRule="atLeast"/>
        <w:rPr>
          <w:sz w:val="22"/>
        </w:rPr>
      </w:pPr>
    </w:p>
    <w:p w:rsidR="00CA7688" w:rsidRPr="00130F79" w:rsidRDefault="00CA7688" w:rsidP="00CA7688">
      <w:pPr>
        <w:pStyle w:val="Textoindependiente"/>
        <w:spacing w:line="240" w:lineRule="atLeast"/>
        <w:rPr>
          <w:sz w:val="22"/>
        </w:rPr>
      </w:pPr>
      <w:r w:rsidRPr="00130F79">
        <w:rPr>
          <w:sz w:val="22"/>
        </w:rPr>
        <w:t>En las bajas de registros de funcionamiento de establecimientos, industriales y prestación de servicios a que hace referencia la presente sección, el interesado deberá manifestar a más tardar el 31 de enero del ejercicio fiscal 2019 la baja de establecimiento, fuera del plazo referido, procederá un cobro proporcional al tiempo que se mantuvo en operaciones, en los términos de esta Ley.</w:t>
      </w:r>
    </w:p>
    <w:p w:rsidR="00514A39" w:rsidRDefault="00514A39">
      <w:bookmarkStart w:id="0" w:name="_GoBack"/>
      <w:bookmarkEnd w:id="0"/>
    </w:p>
    <w:sectPr w:rsidR="00514A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A3FB0"/>
    <w:multiLevelType w:val="hybridMultilevel"/>
    <w:tmpl w:val="439E9548"/>
    <w:lvl w:ilvl="0" w:tplc="080A0013">
      <w:start w:val="1"/>
      <w:numFmt w:val="upperRoman"/>
      <w:lvlText w:val="%1."/>
      <w:lvlJc w:val="right"/>
      <w:pPr>
        <w:ind w:left="1495" w:hanging="360"/>
      </w:pPr>
      <w:rPr>
        <w:rFonts w:hint="default"/>
        <w:color w:val="auto"/>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D11750"/>
    <w:multiLevelType w:val="hybridMultilevel"/>
    <w:tmpl w:val="2F4024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88"/>
    <w:rsid w:val="00514A39"/>
    <w:rsid w:val="00CA76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4A85B-99EC-48DF-9D75-9BEA3380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88"/>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semiHidden/>
    <w:unhideWhenUsed/>
    <w:qFormat/>
    <w:rsid w:val="00CA768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6">
    <w:name w:val="heading 6"/>
    <w:basedOn w:val="Normal"/>
    <w:next w:val="Normal"/>
    <w:link w:val="Ttulo6Car"/>
    <w:uiPriority w:val="9"/>
    <w:unhideWhenUsed/>
    <w:qFormat/>
    <w:rsid w:val="00CA7688"/>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CA7688"/>
    <w:rPr>
      <w:rFonts w:asciiTheme="majorHAnsi" w:eastAsiaTheme="majorEastAsia" w:hAnsiTheme="majorHAnsi" w:cstheme="majorBidi"/>
      <w:b/>
      <w:bCs/>
      <w:color w:val="5B9BD5" w:themeColor="accent1"/>
      <w:sz w:val="26"/>
      <w:szCs w:val="26"/>
      <w:lang w:eastAsia="es-MX"/>
    </w:rPr>
  </w:style>
  <w:style w:type="character" w:customStyle="1" w:styleId="Ttulo6Car">
    <w:name w:val="Título 6 Car"/>
    <w:basedOn w:val="Fuentedeprrafopredeter"/>
    <w:link w:val="Ttulo6"/>
    <w:uiPriority w:val="9"/>
    <w:rsid w:val="00CA7688"/>
    <w:rPr>
      <w:rFonts w:asciiTheme="majorHAnsi" w:eastAsiaTheme="majorEastAsia" w:hAnsiTheme="majorHAnsi" w:cstheme="majorBidi"/>
      <w:i/>
      <w:iCs/>
      <w:color w:val="1F4D78" w:themeColor="accent1" w:themeShade="7F"/>
      <w:lang w:eastAsia="es-MX"/>
    </w:rPr>
  </w:style>
  <w:style w:type="paragraph" w:styleId="Prrafodelista">
    <w:name w:val="List Paragraph"/>
    <w:basedOn w:val="Normal"/>
    <w:link w:val="PrrafodelistaCar"/>
    <w:uiPriority w:val="34"/>
    <w:qFormat/>
    <w:rsid w:val="00CA7688"/>
    <w:pPr>
      <w:ind w:left="720"/>
      <w:contextualSpacing/>
    </w:pPr>
  </w:style>
  <w:style w:type="paragraph" w:styleId="Textoindependiente">
    <w:name w:val="Body Text"/>
    <w:basedOn w:val="Normal"/>
    <w:link w:val="TextoindependienteCar"/>
    <w:qFormat/>
    <w:rsid w:val="00CA7688"/>
    <w:pPr>
      <w:autoSpaceDE w:val="0"/>
      <w:autoSpaceDN w:val="0"/>
      <w:adjustRightInd w:val="0"/>
      <w:jc w:val="both"/>
    </w:pPr>
    <w:rPr>
      <w:rFonts w:ascii="Arial" w:hAnsi="Arial" w:cs="Arial"/>
      <w:sz w:val="20"/>
      <w:lang w:val="es-ES" w:eastAsia="es-ES"/>
    </w:rPr>
  </w:style>
  <w:style w:type="character" w:customStyle="1" w:styleId="TextoindependienteCar">
    <w:name w:val="Texto independiente Car"/>
    <w:basedOn w:val="Fuentedeprrafopredeter"/>
    <w:link w:val="Textoindependiente"/>
    <w:rsid w:val="00CA7688"/>
    <w:rPr>
      <w:rFonts w:ascii="Arial" w:eastAsia="Times New Roman" w:hAnsi="Arial" w:cs="Arial"/>
      <w:sz w:val="20"/>
      <w:szCs w:val="24"/>
      <w:lang w:val="es-ES" w:eastAsia="es-ES"/>
    </w:rPr>
  </w:style>
  <w:style w:type="table" w:customStyle="1" w:styleId="TableNormal">
    <w:name w:val="Table Normal"/>
    <w:uiPriority w:val="2"/>
    <w:semiHidden/>
    <w:unhideWhenUsed/>
    <w:qFormat/>
    <w:rsid w:val="00CA7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7688"/>
    <w:pPr>
      <w:widowControl w:val="0"/>
      <w:autoSpaceDE w:val="0"/>
      <w:autoSpaceDN w:val="0"/>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CA7688"/>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A7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A7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A76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CA7688"/>
    <w:pPr>
      <w:tabs>
        <w:tab w:val="center" w:pos="4419"/>
        <w:tab w:val="right" w:pos="8838"/>
      </w:tabs>
    </w:pPr>
  </w:style>
  <w:style w:type="character" w:customStyle="1" w:styleId="EncabezadoCar">
    <w:name w:val="Encabezado Car"/>
    <w:basedOn w:val="Fuentedeprrafopredeter"/>
    <w:link w:val="Encabezado"/>
    <w:uiPriority w:val="99"/>
    <w:rsid w:val="00CA7688"/>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CA7688"/>
    <w:pPr>
      <w:tabs>
        <w:tab w:val="center" w:pos="4419"/>
        <w:tab w:val="right" w:pos="8838"/>
      </w:tabs>
    </w:pPr>
  </w:style>
  <w:style w:type="character" w:customStyle="1" w:styleId="PiedepginaCar">
    <w:name w:val="Pie de página Car"/>
    <w:basedOn w:val="Fuentedeprrafopredeter"/>
    <w:link w:val="Piedepgina"/>
    <w:uiPriority w:val="99"/>
    <w:rsid w:val="00CA7688"/>
    <w:rPr>
      <w:rFonts w:ascii="Times New Roman" w:eastAsia="Times New Roman" w:hAnsi="Times New Roman" w:cs="Times New Roman"/>
      <w:sz w:val="24"/>
      <w:szCs w:val="24"/>
      <w:lang w:eastAsia="es-MX"/>
    </w:rPr>
  </w:style>
  <w:style w:type="table" w:styleId="Tablaconcuadrcula">
    <w:name w:val="Table Grid"/>
    <w:basedOn w:val="Tablanormal"/>
    <w:uiPriority w:val="59"/>
    <w:rsid w:val="00CA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7688"/>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88"/>
    <w:rPr>
      <w:rFonts w:ascii="Tahoma" w:eastAsia="Times New Roman" w:hAnsi="Tahoma" w:cs="Tahoma"/>
      <w:sz w:val="16"/>
      <w:szCs w:val="16"/>
      <w:lang w:eastAsia="es-MX"/>
    </w:rPr>
  </w:style>
  <w:style w:type="character" w:customStyle="1" w:styleId="PrrafodelistaCar">
    <w:name w:val="Párrafo de lista Car"/>
    <w:basedOn w:val="Fuentedeprrafopredeter"/>
    <w:link w:val="Prrafodelista"/>
    <w:uiPriority w:val="34"/>
    <w:locked/>
    <w:rsid w:val="00CA7688"/>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CA7688"/>
    <w:rPr>
      <w:sz w:val="16"/>
      <w:szCs w:val="16"/>
    </w:rPr>
  </w:style>
  <w:style w:type="paragraph" w:styleId="Textocomentario">
    <w:name w:val="annotation text"/>
    <w:basedOn w:val="Normal"/>
    <w:link w:val="TextocomentarioCar"/>
    <w:uiPriority w:val="99"/>
    <w:semiHidden/>
    <w:unhideWhenUsed/>
    <w:rsid w:val="00CA7688"/>
    <w:rPr>
      <w:sz w:val="20"/>
      <w:szCs w:val="20"/>
    </w:rPr>
  </w:style>
  <w:style w:type="character" w:customStyle="1" w:styleId="TextocomentarioCar">
    <w:name w:val="Texto comentario Car"/>
    <w:basedOn w:val="Fuentedeprrafopredeter"/>
    <w:link w:val="Textocomentario"/>
    <w:uiPriority w:val="99"/>
    <w:semiHidden/>
    <w:rsid w:val="00CA7688"/>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7688"/>
    <w:rPr>
      <w:b/>
      <w:bCs/>
    </w:rPr>
  </w:style>
  <w:style w:type="character" w:customStyle="1" w:styleId="AsuntodelcomentarioCar">
    <w:name w:val="Asunto del comentario Car"/>
    <w:basedOn w:val="TextocomentarioCar"/>
    <w:link w:val="Asuntodelcomentario"/>
    <w:uiPriority w:val="99"/>
    <w:semiHidden/>
    <w:rsid w:val="00CA7688"/>
    <w:rPr>
      <w:rFonts w:ascii="Times New Roman" w:eastAsia="Times New Roman" w:hAnsi="Times New Roman" w:cs="Times New Roman"/>
      <w:b/>
      <w:bCs/>
      <w:sz w:val="20"/>
      <w:szCs w:val="20"/>
      <w:lang w:eastAsia="es-MX"/>
    </w:rPr>
  </w:style>
  <w:style w:type="paragraph" w:customStyle="1" w:styleId="xl68">
    <w:name w:val="xl68"/>
    <w:basedOn w:val="Normal"/>
    <w:rsid w:val="00CA7688"/>
    <w:pPr>
      <w:spacing w:before="100" w:beforeAutospacing="1" w:after="100" w:afterAutospacing="1"/>
    </w:pPr>
    <w:rPr>
      <w:rFonts w:ascii="Arial" w:hAnsi="Arial" w:cs="Arial"/>
    </w:rPr>
  </w:style>
  <w:style w:type="paragraph" w:styleId="Lista">
    <w:name w:val="List"/>
    <w:basedOn w:val="Normal"/>
    <w:uiPriority w:val="99"/>
    <w:unhideWhenUsed/>
    <w:rsid w:val="00CA7688"/>
    <w:pPr>
      <w:ind w:left="283" w:hanging="283"/>
      <w:contextualSpacing/>
    </w:pPr>
  </w:style>
  <w:style w:type="paragraph" w:customStyle="1" w:styleId="Default">
    <w:name w:val="Default"/>
    <w:rsid w:val="00CA76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2178</Words>
  <Characters>11980</Characters>
  <Application>Microsoft Office Word</Application>
  <DocSecurity>0</DocSecurity>
  <Lines>99</Lines>
  <Paragraphs>28</Paragraphs>
  <ScaleCrop>false</ScaleCrop>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hacienda</dc:creator>
  <cp:keywords/>
  <dc:description/>
  <cp:lastModifiedBy>Reg hacienda</cp:lastModifiedBy>
  <cp:revision>1</cp:revision>
  <dcterms:created xsi:type="dcterms:W3CDTF">2019-10-07T23:41:00Z</dcterms:created>
  <dcterms:modified xsi:type="dcterms:W3CDTF">2019-10-07T23:48:00Z</dcterms:modified>
</cp:coreProperties>
</file>